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A" w:rsidRDefault="00044FDA" w:rsidP="00044FDA">
      <w:pPr>
        <w:pStyle w:val="3"/>
        <w:shd w:val="clear" w:color="auto" w:fill="FFFFFF"/>
        <w:spacing w:before="0" w:beforeAutospacing="0" w:after="30" w:afterAutospacing="0"/>
        <w:rPr>
          <w:rFonts w:ascii="Tahoma" w:hAnsi="Tahoma" w:cs="Tahoma"/>
          <w:b w:val="0"/>
          <w:bCs w:val="0"/>
          <w:color w:val="009846"/>
          <w:sz w:val="31"/>
          <w:szCs w:val="31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color w:val="009846"/>
          <w:sz w:val="31"/>
          <w:szCs w:val="31"/>
        </w:rPr>
        <w:t>Налоговая служба региона осуществляет мониторинг и анализ фиксации расчетов с применением ККТ на рынках области каждым арендатором</w:t>
      </w: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Межрайонная ИФНС России № 12 по Иркутской области информирует, что в соответствии с Федеральным законом от 22.05.2003 №54-ФЗ все организации и индивидуальные предприниматели при осуществлении расчетов с покупателями обязаны применять контрольно-кассовую технику, включенную в реестр ККТ.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мест, установившими и зарегистрировавшими кассовые аппараты, каждого проведенного расчета за товары, работы, услуги.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За неприменение ККТ статьей 14.5 Кодекса Российской Федерации об административных правонарушениях предусмотрена ответственность в виде штрафа для должностных лиц в размере от ¼ до ½ суммы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 В случае повторного нарушения при условии осуществления сумм расчетов без применения ККТ на 1 млн рублей и более 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7"/>
    <w:rsid w:val="00044FDA"/>
    <w:rsid w:val="0012755E"/>
    <w:rsid w:val="001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2</cp:revision>
  <dcterms:created xsi:type="dcterms:W3CDTF">2022-04-05T13:00:00Z</dcterms:created>
  <dcterms:modified xsi:type="dcterms:W3CDTF">2022-04-05T13:00:00Z</dcterms:modified>
</cp:coreProperties>
</file>